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Tracy-Anne McPhee</w:t>
        <w:br w:type="textWrapping"/>
      </w:r>
      <w:r w:rsidDel="00000000" w:rsidR="00000000" w:rsidRPr="00000000">
        <w:rPr>
          <w:rtl w:val="0"/>
        </w:rPr>
        <w:t xml:space="preserve">Minister of Health and Social Services</w:t>
        <w:br w:type="textWrapping"/>
        <w:t xml:space="preserve">Province of Yukon</w:t>
        <w:br w:type="textWrapping"/>
        <w:t xml:space="preserve">Box 2703</w:t>
        <w:br w:type="textWrapping"/>
        <w:t xml:space="preserve">Whitehorse, YK Y1A 2C6</w:t>
      </w:r>
    </w:p>
    <w:p w:rsidR="00000000" w:rsidDel="00000000" w:rsidP="00000000" w:rsidRDefault="00000000" w:rsidRPr="00000000" w14:paraId="00000003">
      <w:pPr>
        <w:spacing w:after="240" w:before="0" w:line="360" w:lineRule="auto"/>
        <w:rPr/>
      </w:pPr>
      <w:r w:rsidDel="00000000" w:rsidR="00000000" w:rsidRPr="00000000">
        <w:rPr>
          <w:rtl w:val="0"/>
        </w:rPr>
        <w:t xml:space="preserve">tracy.mcphee@yukon.ca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McPhee,</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Yukon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Yukon,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Yukon.</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