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240" w:line="360" w:lineRule="auto"/>
        <w:rPr/>
      </w:pPr>
      <w:r w:rsidDel="00000000" w:rsidR="00000000" w:rsidRPr="00000000">
        <w:rPr>
          <w:b w:val="1"/>
          <w:rtl w:val="0"/>
        </w:rPr>
        <w:t xml:space="preserve">The Honourable Jeremy Cockrill</w:t>
        <w:br w:type="textWrapping"/>
      </w:r>
      <w:r w:rsidDel="00000000" w:rsidR="00000000" w:rsidRPr="00000000">
        <w:rPr>
          <w:rtl w:val="0"/>
        </w:rPr>
        <w:t xml:space="preserve">Minister of Health</w:t>
        <w:br w:type="textWrapping"/>
        <w:t xml:space="preserve">Province of Saskatchewan</w:t>
        <w:br w:type="textWrapping"/>
        <w:t xml:space="preserve">204-2405 Legislative Drive</w:t>
        <w:br w:type="textWrapping"/>
        <w:t xml:space="preserve">Regina, SK S4S 0B3</w:t>
      </w:r>
    </w:p>
    <w:p w:rsidR="00000000" w:rsidDel="00000000" w:rsidP="00000000" w:rsidRDefault="00000000" w:rsidRPr="00000000" w14:paraId="00000003">
      <w:pPr>
        <w:spacing w:after="0" w:before="0" w:line="360" w:lineRule="auto"/>
        <w:rPr/>
      </w:pPr>
      <w:r w:rsidDel="00000000" w:rsidR="00000000" w:rsidRPr="00000000">
        <w:rPr>
          <w:rtl w:val="0"/>
        </w:rPr>
        <w:t xml:space="preserve">he.minister@gov.sk.ca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Cockrill,</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Saskatchewan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Saskatchewan,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Saskatchewan.</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