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Uzoma Asagwara</w:t>
        <w:br w:type="textWrapping"/>
      </w:r>
      <w:r w:rsidDel="00000000" w:rsidR="00000000" w:rsidRPr="00000000">
        <w:rPr>
          <w:rtl w:val="0"/>
        </w:rPr>
        <w:t xml:space="preserve">Minister of Health, Seniors and Long-Term Care</w:t>
        <w:br w:type="textWrapping"/>
        <w:t xml:space="preserve">Province of Manitoba</w:t>
        <w:br w:type="textWrapping"/>
        <w:t xml:space="preserve">302-450 Broadway</w:t>
      </w:r>
    </w:p>
    <w:p w:rsidR="00000000" w:rsidDel="00000000" w:rsidP="00000000" w:rsidRDefault="00000000" w:rsidRPr="00000000" w14:paraId="00000003">
      <w:pPr>
        <w:spacing w:after="0" w:before="0" w:line="360" w:lineRule="auto"/>
        <w:rPr/>
      </w:pPr>
      <w:r w:rsidDel="00000000" w:rsidR="00000000" w:rsidRPr="00000000">
        <w:rPr>
          <w:rtl w:val="0"/>
        </w:rPr>
        <w:t xml:space="preserve">Winnipeg, MB R3C 0V8</w:t>
        <w:br w:type="textWrapping"/>
        <w:t xml:space="preserve">minhsltc@manitoba.ca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Asagwara,</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Manitoba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Manitoba,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Manitoba.</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